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5648593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ca8d2e90-56c6-4227-b989-cf591d15a380" w:id="1"/>
      <w:r>
        <w:rPr>
          <w:rFonts w:ascii="Times New Roman" w:hAnsi="Times New Roman"/>
          <w:b/>
          <w:i w:val="false"/>
          <w:color w:val="000000"/>
          <w:sz w:val="28"/>
        </w:rPr>
        <w:t xml:space="preserve">Министерство образования и науки Карачаево-Черкесской Республики 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e2678aaf-ecf3-4703-966c-c57be95f5541" w:id="2"/>
      <w:r>
        <w:rPr>
          <w:rFonts w:ascii="Times New Roman" w:hAnsi="Times New Roman"/>
          <w:b/>
          <w:i w:val="false"/>
          <w:color w:val="000000"/>
          <w:sz w:val="28"/>
        </w:rPr>
        <w:t>Администрация Зеленчукского района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Средняя общеобразовательная школа а.Хасаут-Греческое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4E6975" w:rsidR="00C53FFE" w:rsidTr="000D4161" w14:paraId="26A8C608" w14:textId="77777777">
        <w:tc>
          <w:tcPr>
            <w:tcW w:w="3114" w:type="dxa"/>
          </w:tcPr>
          <w:p w:rsidRPr="0040209D" w:rsidR="00C53FFE" w:rsidP="00535FAF" w:rsidRDefault="00C53FFE" w14:paraId="5EFBAE4E" w14:textId="77777777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Зам.директора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Кипкеева З.Х.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79D51E2C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сентября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Кузьминов Н.И.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7CA7471B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сентября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3400061)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«Технология»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508ac55b-44c9-400c-838c-9af63dfa3fb2" w:id="3"/>
      <w:r>
        <w:rPr>
          <w:rFonts w:ascii="Times New Roman" w:hAnsi="Times New Roman"/>
          <w:b/>
          <w:i w:val="false"/>
          <w:color w:val="000000"/>
          <w:sz w:val="28"/>
        </w:rPr>
        <w:t>с.Хасаут-Греческое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d20e1ab1-8771-4456-8e22-9864249693d4" w:id="4"/>
      <w:r>
        <w:rPr>
          <w:rFonts w:ascii="Times New Roman" w:hAnsi="Times New Roman"/>
          <w:b/>
          <w:i w:val="false"/>
          <w:color w:val="000000"/>
          <w:sz w:val="28"/>
        </w:rPr>
        <w:t>2023-2024 г.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25648593" w:id="5"/>
    <w:p>
      <w:pPr>
        <w:sectPr>
          <w:pgSz w:w="11906" w:h="16383" w:orient="portrait"/>
        </w:sectPr>
      </w:pPr>
    </w:p>
    <w:bookmarkEnd w:id="5"/>
    <w:bookmarkEnd w:id="0"/>
    <w:bookmarkStart w:name="block-25648595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программе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технологии направлена на решение системы задач: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гибкости и вариативности мышления, способностей к изобретательской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Технологии, профессии и производства.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6028649a-e0ac-451e-8172-b3f83139ddea" w:id="7"/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 w:line="264"/>
        <w:ind w:left="120"/>
        <w:jc w:val="both"/>
      </w:pPr>
    </w:p>
    <w:bookmarkStart w:name="block-25648595" w:id="8"/>
    <w:p>
      <w:pPr>
        <w:sectPr>
          <w:pgSz w:w="11906" w:h="16383" w:orient="portrait"/>
        </w:sectPr>
      </w:pPr>
    </w:p>
    <w:bookmarkEnd w:id="8"/>
    <w:bookmarkEnd w:id="6"/>
    <w:bookmarkStart w:name="block-25648594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Природное и техническое окружение человека.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и праздники народов России, ремёсла, обычаи.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отделочных материалов.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учителем готовых материалов на информационных носителях.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Информация. Виды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 (ПРОПЕДЕВТИЧЕСКИЙ УРОВЕНЬ)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использовать предложенную инструкцию (устную, графическую);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отдельные изделия (конструкции), находить сходство и различия в их устройстве.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информацию (представленную в объяснении учителя или в учебнике), использовать её в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несложные высказывания, сообщения в устной форме (по содержанию изученных тем).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и удерживать в процессе деятельности предложенную учебную задачу;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несложные действия контроля и оценки по предложенным критериям.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учителем готовых материалов на информационных носителях.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Поиск информации. Интернет как источник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образцом, инструкцией, устной или письменной;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анализа и синтеза, сравнения, группировки с учётом указанных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рассуждения, делать умозаключения, проверять их в практической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воспроизводить порядок действий при решении учебной (практической)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решение простых задач в умственной и материализованной форме.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информацию из учебника и других дидактических материалов, использовать её в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учебную задачу;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свою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предлагаемый план действий, действовать по плану;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необходимые действия для получения практического результата, планировать работу;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рицовки на картоне с помощью канцелярского ножа, выполнение отверстий шилом.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материалов. Комбинирование разных материалов в одном изделии.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Microsoft Word или другим.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предложенных образцов с выделением существенных и несущественных признаков;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способы доработки конструкций с учётом предложенных условий;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воспроизводить простой чертёж (эскиз) развёртки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восстанавливать нарушенную последовательность выполнения изделия.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предметы рукотворного мира, оценивать их достоинства;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и сохранять учебную задачу, осуществлять поиск средств для её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задания.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себе партнёров по совместной деятельности не только по симпатии, но и по деловым качествам;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роли лидера, подчинённого, соблюдать равноправие и дружелюбие;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взаимопомощь, проявлять ответственность при выполнении своей части работы.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опасностями (пожарные, космонавты, химики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Комбинированное использование разных материалов.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требования к техническим устройствам (экологичность, безопасность, эргономичность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PowerPoint или другой.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конструкции предложенных образцов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простые задачи на преобразование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инструкцией, устной или письменной;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рисунки из ресурса компьютера в оформлении изделий и другое;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практическую работу в соответствии с поставленной целью и выполнять её в соответствии с планом;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задания.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​</w:t>
      </w:r>
    </w:p>
    <w:bookmarkStart w:name="block-25648594" w:id="10"/>
    <w:p>
      <w:pPr>
        <w:sectPr>
          <w:pgSz w:w="11906" w:h="16383" w:orient="portrait"/>
        </w:sectPr>
      </w:pPr>
    </w:p>
    <w:bookmarkEnd w:id="10"/>
    <w:bookmarkEnd w:id="9"/>
    <w:bookmarkStart w:name="block-25648596" w:id="11"/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ТЕХНОЛОГИИ НА УРОВНЕ НАЧАЛЬНОГО ОБЩЕГО ОБРАЗОВАНИЯ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bookmarkStart w:name="_Toc143620888" w:id="12"/>
      <w:bookmarkEnd w:id="12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>
      <w:pPr>
        <w:spacing w:before="0" w:after="0"/>
        <w:ind w:left="120"/>
        <w:jc w:val="left"/>
      </w:pPr>
      <w:bookmarkStart w:name="_Toc143620889" w:id="13"/>
      <w:bookmarkEnd w:id="13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группы объектов (изделий), выделять в них общее и различия;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последовательность совершаемых действий при создании изделия.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безопасности труда при выполнении работы;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работу, соотносить свои действия с поставленной целью;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работы.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>
      <w:pPr>
        <w:spacing w:before="0" w:after="0"/>
        <w:ind w:left="120"/>
        <w:jc w:val="left"/>
      </w:pPr>
      <w:bookmarkStart w:name="_Toc143620890" w:id="14"/>
      <w:bookmarkEnd w:id="14"/>
      <w:bookmarkStart w:name="_Toc134720971" w:id="15"/>
      <w:bookmarkEnd w:id="15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изделия строчкой прямого стежка;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задания с опорой на готовый план;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материалы и инструменты по их назначению;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сушки плоских изделий пресс;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разборные и неразборные конструкции несложных изделий;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несложные коллективные работы проектного характера.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во 2 классе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задания по самостоятельно составленному плану;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биговку;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изделия и соединять детали освоенными ручными строчками;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отличать макет от модели, строить трёхмерный макет из готовой развёртки;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конструкторско-технологические задачи;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выбор, какое мнение принять – своё или другое, высказанное в ходе обсуждения;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малых группах, осуществлять сотрудничество;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профессии людей, работающих в сфере обслуживания.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3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«чертёж развёртки», «канцелярский нож», «шило», «искусственный материал»;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линии чертежа (осевая и центровая);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 пользоваться канцелярским ножом, шилом;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рицовку;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соединение деталей и отделку изделия освоенными ручными строчками;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конструкцию изделия по заданным условиям;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соединения и соединительный материал в зависимости от требований конструкции;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основные правила безопасной работы на компьютере;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с доступной информацией, работать в программах Word, Power Point;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​​</w:t>
      </w:r>
    </w:p>
    <w:bookmarkStart w:name="block-25648596" w:id="16"/>
    <w:p>
      <w:pPr>
        <w:sectPr>
          <w:pgSz w:w="11906" w:h="16383" w:orient="portrait"/>
        </w:sectPr>
      </w:pPr>
    </w:p>
    <w:bookmarkEnd w:id="16"/>
    <w:bookmarkEnd w:id="11"/>
    <w:bookmarkStart w:name="block-25648592" w:id="1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86"/>
        <w:gridCol w:w="2480"/>
        <w:gridCol w:w="1441"/>
        <w:gridCol w:w="2480"/>
        <w:gridCol w:w="2601"/>
        <w:gridCol w:w="3906"/>
      </w:tblGrid>
      <w:tr>
        <w:trPr>
          <w:trHeight w:val="300" w:hRule="atLeast"/>
          <w:trHeight w:val="144" w:hRule="atLeast"/>
        </w:trPr>
        <w:tc>
          <w:tcPr>
            <w:tcW w:w="4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7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Ножницы – режущий инструмент. Резание бумаги и тонкого картона ножницами. Понятие «конструкция»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80"/>
        <w:gridCol w:w="2560"/>
        <w:gridCol w:w="1428"/>
        <w:gridCol w:w="2466"/>
        <w:gridCol w:w="2588"/>
        <w:gridCol w:w="3872"/>
      </w:tblGrid>
      <w:tr>
        <w:trPr>
          <w:trHeight w:val="300" w:hRule="atLeast"/>
          <w:trHeight w:val="144" w:hRule="atLeast"/>
        </w:trPr>
        <w:tc>
          <w:tcPr>
            <w:tcW w:w="4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6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Биговка. Сгибание тонкого картона и плотных видов бумаги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на службе у человека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80"/>
        <w:gridCol w:w="2560"/>
        <w:gridCol w:w="1428"/>
        <w:gridCol w:w="2466"/>
        <w:gridCol w:w="2588"/>
        <w:gridCol w:w="3872"/>
      </w:tblGrid>
      <w:tr>
        <w:trPr>
          <w:trHeight w:val="300" w:hRule="atLeast"/>
          <w:trHeight w:val="144" w:hRule="atLeast"/>
        </w:trPr>
        <w:tc>
          <w:tcPr>
            <w:tcW w:w="4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8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формы деталей и изделий. Развертка. Чертеж развертки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 из деталей наборов типа «Конструктор». Конструирование изделий из разных материалов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2"/>
        <w:gridCol w:w="2880"/>
        <w:gridCol w:w="1380"/>
        <w:gridCol w:w="2410"/>
        <w:gridCol w:w="2535"/>
        <w:gridCol w:w="3737"/>
      </w:tblGrid>
      <w:tr>
        <w:trPr>
          <w:trHeight w:val="300" w:hRule="atLeast"/>
          <w:trHeight w:val="144" w:hRule="atLeast"/>
        </w:trPr>
        <w:tc>
          <w:tcPr>
            <w:tcW w:w="4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60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Интерьеры разных времен. Декор интерьера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Синтетические материалы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одежды и текстильных материалов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5648592" w:id="18"/>
    <w:p>
      <w:pPr>
        <w:sectPr>
          <w:pgSz w:w="16383" w:h="11906" w:orient="landscape"/>
        </w:sectPr>
      </w:pPr>
    </w:p>
    <w:bookmarkEnd w:id="18"/>
    <w:bookmarkEnd w:id="17"/>
    <w:bookmarkStart w:name="block-25648597" w:id="1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творчество. Природные материалы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Сбор листьев и способы их засушивания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Материалы для лепки (пластилин, пластические массы)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Изделие. Основа и детали изделия.Понятие «технология»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8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[Оклеивание деталей коробки с крышкой]]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 «Военная техника»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макета робота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игрушки-марионетки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папки-футляра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Развертка многогранной пирамиды циркулем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82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Синтетические ткани. Их свойства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крестообразного стежка. Строчка петлеобразного стежка.Аксессуары в одежде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Качающиеся конструкции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Конструкции со сдвижной деталью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5648597" w:id="20"/>
    <w:p>
      <w:pPr>
        <w:sectPr>
          <w:pgSz w:w="16383" w:h="11906" w:orient="landscape"/>
        </w:sectPr>
      </w:pPr>
    </w:p>
    <w:bookmarkEnd w:id="20"/>
    <w:bookmarkEnd w:id="19"/>
    <w:bookmarkStart w:name="block-25648598" w:id="2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25648598" w:id="22"/>
    <w:p>
      <w:pPr>
        <w:sectPr>
          <w:pgSz w:w="11906" w:h="16383" w:orient="portrait"/>
        </w:sectPr>
      </w:pPr>
    </w:p>
    <w:bookmarkEnd w:id="22"/>
    <w:bookmarkEnd w:id="21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decimal"/>
      <w:lvlText w:val="%1."/>
      <w:lvlJc w:val="left"/>
      <w:pPr>
        <w:ind w:left="960" w:hanging="3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